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：</w:t>
      </w:r>
    </w:p>
    <w:p>
      <w:pPr>
        <w:topLinePunct/>
        <w:jc w:val="center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 w:cs="宋体"/>
          <w:b/>
          <w:bCs/>
          <w:sz w:val="36"/>
          <w:szCs w:val="36"/>
        </w:rPr>
        <w:t>第十八届中国（国际）水务高峰论坛</w:t>
      </w:r>
      <w:r>
        <w:rPr>
          <w:rFonts w:hint="eastAsia" w:ascii="仿宋_GB2312" w:eastAsia="仿宋_GB2312"/>
          <w:b/>
          <w:bCs/>
          <w:sz w:val="36"/>
          <w:szCs w:val="36"/>
        </w:rPr>
        <w:t>·</w:t>
      </w:r>
      <w:r>
        <w:rPr>
          <w:rFonts w:hint="eastAsia" w:ascii="仿宋_GB2312" w:hAnsi="方正大标宋简体" w:eastAsia="仿宋_GB2312" w:cs="方正大标宋简体"/>
          <w:b/>
          <w:bCs/>
          <w:sz w:val="36"/>
          <w:szCs w:val="36"/>
        </w:rPr>
        <w:t>参会回执表</w:t>
      </w:r>
    </w:p>
    <w:bookmarkEnd w:id="0"/>
    <w:tbl>
      <w:tblPr>
        <w:tblStyle w:val="3"/>
        <w:tblpPr w:leftFromText="180" w:rightFromText="180" w:vertAnchor="text" w:horzAnchor="margin" w:tblpY="33"/>
        <w:tblW w:w="493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68" w:type="dxa"/>
          <w:left w:w="57" w:type="dxa"/>
          <w:bottom w:w="68" w:type="dxa"/>
          <w:right w:w="57" w:type="dxa"/>
        </w:tblCellMar>
      </w:tblPr>
      <w:tblGrid>
        <w:gridCol w:w="1145"/>
        <w:gridCol w:w="1034"/>
        <w:gridCol w:w="17"/>
        <w:gridCol w:w="1632"/>
        <w:gridCol w:w="898"/>
        <w:gridCol w:w="450"/>
        <w:gridCol w:w="1850"/>
        <w:gridCol w:w="1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tcBorders>
              <w:top w:val="single" w:color="auto" w:sz="8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4310" w:type="pct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1614" w:type="pct"/>
            <w:gridSpan w:val="3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884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参会人员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84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3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vMerge w:val="restar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住宿要求</w:t>
            </w:r>
          </w:p>
        </w:tc>
        <w:tc>
          <w:tcPr>
            <w:tcW w:w="4310" w:type="pct"/>
            <w:gridSpan w:val="7"/>
            <w:noWrap w:val="0"/>
            <w:vAlign w:val="center"/>
          </w:tcPr>
          <w:p>
            <w:pPr>
              <w:tabs>
                <w:tab w:val="left" w:pos="3765"/>
              </w:tabs>
              <w:topLinePunct/>
              <w:ind w:left="720" w:hanging="720" w:hangingChars="3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酒店名称：江苏辰茂新世纪大酒店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topLinePunct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地址：江苏省南京市玄武区龙蟠路133号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vMerge w:val="continue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4" w:type="pct"/>
            <w:gridSpan w:val="4"/>
            <w:noWrap w:val="0"/>
            <w:vAlign w:val="center"/>
          </w:tcPr>
          <w:p>
            <w:pPr>
              <w:tabs>
                <w:tab w:val="center" w:pos="3592"/>
                <w:tab w:val="left" w:pos="4170"/>
                <w:tab w:val="left" w:pos="4905"/>
              </w:tabs>
              <w:topLinePunct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入住时间：6月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55" w:type="pct"/>
            <w:gridSpan w:val="3"/>
            <w:noWrap w:val="0"/>
            <w:vAlign w:val="center"/>
          </w:tcPr>
          <w:p>
            <w:pPr>
              <w:tabs>
                <w:tab w:val="center" w:pos="3592"/>
                <w:tab w:val="left" w:pos="4170"/>
                <w:tab w:val="left" w:pos="4905"/>
              </w:tabs>
              <w:topLinePunct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退房时间：</w:t>
            </w:r>
            <w:r>
              <w:rPr>
                <w:rFonts w:eastAsia="仿宋_GB2312"/>
                <w:sz w:val="24"/>
                <w:szCs w:val="21"/>
              </w:rPr>
              <w:t>6月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rPr>
          <w:trHeight w:val="737" w:hRule="atLeast"/>
        </w:trPr>
        <w:tc>
          <w:tcPr>
            <w:tcW w:w="689" w:type="pct"/>
            <w:vMerge w:val="continue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0" w:type="pct"/>
            <w:gridSpan w:val="7"/>
            <w:noWrap w:val="0"/>
            <w:vAlign w:val="center"/>
          </w:tcPr>
          <w:p>
            <w:pPr>
              <w:tabs>
                <w:tab w:val="left" w:pos="3765"/>
              </w:tabs>
              <w:topLinePunct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标准间：单人单早380元/间夜    共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 xml:space="preserve">间 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topLinePunct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1"/>
              </w:rPr>
              <w:t>双人双早430元/间夜    共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参会单位意见</w:t>
            </w:r>
          </w:p>
        </w:tc>
        <w:tc>
          <w:tcPr>
            <w:tcW w:w="4310" w:type="pct"/>
            <w:gridSpan w:val="7"/>
            <w:noWrap w:val="0"/>
            <w:vAlign w:val="center"/>
          </w:tcPr>
          <w:p>
            <w:pPr>
              <w:topLinePunct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我单位同意参加第十八届中国（国际）水务高峰论坛，参会人数共计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>人，费用共计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元，将于2023年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日汇出.</w:t>
            </w:r>
          </w:p>
          <w:p>
            <w:pPr>
              <w:tabs>
                <w:tab w:val="center" w:pos="3592"/>
              </w:tabs>
              <w:topLinePunct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代表（签名）（公章）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vMerge w:val="restart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汇款路径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收款单位</w:t>
            </w:r>
          </w:p>
        </w:tc>
        <w:tc>
          <w:tcPr>
            <w:tcW w:w="3678" w:type="pct"/>
            <w:gridSpan w:val="5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北京江河博华会展有限公司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vMerge w:val="continue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3678" w:type="pct"/>
            <w:gridSpan w:val="5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北京银行报国寺支行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vMerge w:val="continue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银行账号</w:t>
            </w:r>
          </w:p>
        </w:tc>
        <w:tc>
          <w:tcPr>
            <w:tcW w:w="3678" w:type="pct"/>
            <w:gridSpan w:val="5"/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01090306100120105195606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68" w:type="dxa"/>
            <w:left w:w="57" w:type="dxa"/>
            <w:bottom w:w="68" w:type="dxa"/>
            <w:right w:w="57" w:type="dxa"/>
          </w:tblCellMar>
        </w:tblPrEx>
        <w:tc>
          <w:tcPr>
            <w:tcW w:w="689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4310" w:type="pct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topLinePunct/>
              <w:ind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会议费：中国水利学会和中国水利工程协会会员1980元/人，非会员2280元/人，学生1000元/人。以上费用含资料费，餐饮交通住宿的费用自理。</w:t>
            </w:r>
          </w:p>
          <w:p>
            <w:pPr>
              <w:pStyle w:val="5"/>
              <w:numPr>
                <w:ilvl w:val="0"/>
                <w:numId w:val="1"/>
              </w:numPr>
              <w:topLinePunct/>
              <w:ind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参会费用请提交报名表后5个工作日内，汇至组委会指定账户，我们会在会后统一开具发票。会议费发票内容为“会务费”或“会议费”，仅提供电子普票。</w:t>
            </w:r>
          </w:p>
          <w:p>
            <w:pPr>
              <w:pStyle w:val="5"/>
              <w:numPr>
                <w:ilvl w:val="0"/>
                <w:numId w:val="1"/>
              </w:numPr>
              <w:topLinePunct/>
              <w:ind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汇款时请在备注栏填写参会人员的姓名和电话。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D74D9"/>
    <w:multiLevelType w:val="multilevel"/>
    <w:tmpl w:val="73AD74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18AA3519"/>
    <w:rsid w:val="18A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2023-05-29T00:21:00Z</dcterms:created>
  <dc:creator>我是奔波儿灞好了</dc:creator>
  <cp:lastModifiedBy>我是奔波儿灞好了</cp:lastModifiedBy>
  <dcterms:modified xsi:type="dcterms:W3CDTF">2023-05-29T00:22:09Z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00896BBA1AEB490785908AFBDEBBA8D2_11</vt:lpwstr>
  </property>
</Properties>
</file>